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FD" w:rsidRDefault="00180FFD" w:rsidP="00180FFD">
      <w:pPr>
        <w:spacing w:after="235" w:line="259" w:lineRule="auto"/>
        <w:ind w:left="0" w:firstLine="0"/>
        <w:jc w:val="center"/>
        <w:rPr>
          <w:sz w:val="24"/>
        </w:rPr>
      </w:pPr>
      <w:bookmarkStart w:id="0" w:name="_GoBack"/>
      <w:r>
        <w:rPr>
          <w:noProof/>
        </w:rPr>
        <w:drawing>
          <wp:inline distT="0" distB="0" distL="0" distR="0" wp14:anchorId="31D0AD04" wp14:editId="2D8A40C1">
            <wp:extent cx="1838325" cy="92475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4588" cy="958092"/>
                    </a:xfrm>
                    <a:prstGeom prst="rect">
                      <a:avLst/>
                    </a:prstGeom>
                    <a:noFill/>
                    <a:ln>
                      <a:noFill/>
                    </a:ln>
                  </pic:spPr>
                </pic:pic>
              </a:graphicData>
            </a:graphic>
          </wp:inline>
        </w:drawing>
      </w:r>
    </w:p>
    <w:p w:rsidR="00DA3C0E" w:rsidRDefault="00E058CC">
      <w:pPr>
        <w:spacing w:after="235" w:line="259" w:lineRule="auto"/>
        <w:ind w:left="0" w:firstLine="0"/>
      </w:pPr>
      <w:r>
        <w:rPr>
          <w:sz w:val="24"/>
        </w:rPr>
        <w:t>Gender Pay Gap Report 2019</w:t>
      </w:r>
    </w:p>
    <w:p w:rsidR="00DA3C0E" w:rsidRDefault="00E058CC">
      <w:pPr>
        <w:spacing w:after="263" w:line="247" w:lineRule="auto"/>
        <w:ind w:left="0" w:firstLine="7"/>
        <w:jc w:val="both"/>
      </w:pPr>
      <w:r>
        <w:t xml:space="preserve">Pickwick Academy Trust comprises </w:t>
      </w:r>
      <w:proofErr w:type="gramStart"/>
      <w:r>
        <w:t>4</w:t>
      </w:r>
      <w:proofErr w:type="gramEnd"/>
      <w:r>
        <w:t xml:space="preserve"> primary schools within Wiltshire. Our vision is to work together to provide the best schools and outcomes for our children through harnessing our collective expertise to drive school improvement and realising the best for</w:t>
      </w:r>
      <w:r>
        <w:t xml:space="preserve"> all children and adults working and learning in our schools.</w:t>
      </w:r>
    </w:p>
    <w:p w:rsidR="00DA3C0E" w:rsidRDefault="00E058CC">
      <w:pPr>
        <w:spacing w:after="255"/>
        <w:ind w:left="53" w:right="36"/>
      </w:pPr>
      <w:r>
        <w:t>We are committed to sustainable growth by aligning central services and investing in quality teaching, learning and leadership.</w:t>
      </w:r>
    </w:p>
    <w:p w:rsidR="00DA3C0E" w:rsidRDefault="00E058CC">
      <w:pPr>
        <w:spacing w:after="298"/>
        <w:ind w:left="53" w:right="36"/>
      </w:pPr>
      <w:r>
        <w:t xml:space="preserve">This Gender Pay Gap Report </w:t>
      </w:r>
      <w:proofErr w:type="gramStart"/>
      <w:r>
        <w:t>is based</w:t>
      </w:r>
      <w:proofErr w:type="gramEnd"/>
      <w:r>
        <w:t xml:space="preserve"> on data on 31 March 2018 cover</w:t>
      </w:r>
      <w:r>
        <w:t>ing all our schools and centrally based staff. Our Gender Pay Gap is:</w:t>
      </w:r>
    </w:p>
    <w:p w:rsidR="00DA3C0E" w:rsidRDefault="00E058CC">
      <w:pPr>
        <w:tabs>
          <w:tab w:val="center" w:pos="3065"/>
        </w:tabs>
        <w:ind w:left="0" w:firstLine="0"/>
      </w:pPr>
      <w:r>
        <w:t>Mean gender pay gap</w:t>
      </w:r>
      <w:r>
        <w:tab/>
      </w:r>
      <w:r>
        <w:t>27%</w:t>
      </w:r>
    </w:p>
    <w:p w:rsidR="00DA3C0E" w:rsidRDefault="00E058CC">
      <w:pPr>
        <w:tabs>
          <w:tab w:val="center" w:pos="3069"/>
        </w:tabs>
        <w:spacing w:after="245"/>
        <w:ind w:left="0" w:firstLine="0"/>
      </w:pPr>
      <w:r>
        <w:t>Median gender pay gap</w:t>
      </w:r>
      <w:r>
        <w:tab/>
      </w:r>
      <w:r>
        <w:t>42%</w:t>
      </w:r>
    </w:p>
    <w:p w:rsidR="00DA3C0E" w:rsidRDefault="00E058CC">
      <w:pPr>
        <w:ind w:left="53" w:right="36"/>
      </w:pPr>
      <w:r>
        <w:t>The proportion of males and females in each quartile pay band:</w:t>
      </w:r>
    </w:p>
    <w:tbl>
      <w:tblPr>
        <w:tblStyle w:val="TableGrid"/>
        <w:tblW w:w="6780" w:type="dxa"/>
        <w:tblInd w:w="19" w:type="dxa"/>
        <w:tblCellMar>
          <w:top w:w="28" w:type="dxa"/>
          <w:left w:w="108" w:type="dxa"/>
          <w:bottom w:w="0" w:type="dxa"/>
          <w:right w:w="108" w:type="dxa"/>
        </w:tblCellMar>
        <w:tblLook w:val="04A0" w:firstRow="1" w:lastRow="0" w:firstColumn="1" w:lastColumn="0" w:noHBand="0" w:noVBand="1"/>
      </w:tblPr>
      <w:tblGrid>
        <w:gridCol w:w="2521"/>
        <w:gridCol w:w="677"/>
        <w:gridCol w:w="905"/>
        <w:gridCol w:w="1408"/>
        <w:gridCol w:w="1269"/>
      </w:tblGrid>
      <w:tr w:rsidR="00DA3C0E">
        <w:trPr>
          <w:trHeight w:val="273"/>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3" w:firstLine="0"/>
            </w:pPr>
            <w:r>
              <w:t>Quartile</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0" w:firstLine="0"/>
            </w:pPr>
            <w:r>
              <w:t>% Female</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7" w:firstLine="0"/>
            </w:pPr>
            <w:r>
              <w:t>% Male</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53" w:firstLine="0"/>
            </w:pPr>
            <w:r>
              <w:rPr>
                <w:sz w:val="24"/>
              </w:rPr>
              <w:t>% Total</w:t>
            </w:r>
          </w:p>
        </w:tc>
      </w:tr>
      <w:tr w:rsidR="00DA3C0E">
        <w:trPr>
          <w:trHeight w:val="281"/>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firstLine="0"/>
            </w:pPr>
            <w:r>
              <w:t>Lower Quartile</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0" w:firstLine="0"/>
            </w:pPr>
            <w:r>
              <w:t>95.00</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08" w:firstLine="0"/>
            </w:pPr>
            <w:r>
              <w:t>5.00</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firstLine="0"/>
            </w:pPr>
            <w:r>
              <w:t>100.00</w:t>
            </w:r>
          </w:p>
        </w:tc>
      </w:tr>
      <w:tr w:rsidR="00DA3C0E">
        <w:trPr>
          <w:trHeight w:val="278"/>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Lower Middle Quartile</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7" w:firstLine="0"/>
            </w:pPr>
            <w:r>
              <w:t>95.06</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01" w:firstLine="0"/>
            </w:pPr>
            <w:r>
              <w:t>4.94</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100.00</w:t>
            </w:r>
          </w:p>
        </w:tc>
      </w:tr>
      <w:tr w:rsidR="00DA3C0E">
        <w:trPr>
          <w:trHeight w:val="276"/>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Upper Middle Quartile</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7" w:firstLine="0"/>
            </w:pPr>
            <w:r>
              <w:t>92.50</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08" w:firstLine="0"/>
            </w:pPr>
            <w:r>
              <w:t>7.50</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100.00</w:t>
            </w:r>
          </w:p>
        </w:tc>
      </w:tr>
      <w:tr w:rsidR="00DA3C0E">
        <w:trPr>
          <w:trHeight w:val="281"/>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Upper Quartile</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7" w:firstLine="0"/>
            </w:pPr>
            <w:r>
              <w:t>83.75</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4" w:firstLine="0"/>
            </w:pPr>
            <w:r>
              <w:rPr>
                <w:sz w:val="24"/>
              </w:rPr>
              <w:t>16.25</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100.00</w:t>
            </w:r>
          </w:p>
        </w:tc>
      </w:tr>
      <w:tr w:rsidR="00DA3C0E">
        <w:trPr>
          <w:trHeight w:val="281"/>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Grand Total</w:t>
            </w:r>
          </w:p>
        </w:tc>
        <w:tc>
          <w:tcPr>
            <w:tcW w:w="1554" w:type="dxa"/>
            <w:gridSpan w:val="2"/>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4" w:firstLine="0"/>
            </w:pPr>
            <w:r>
              <w:t>91.59</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15" w:firstLine="0"/>
            </w:pPr>
            <w:r>
              <w:rPr>
                <w:sz w:val="24"/>
              </w:rPr>
              <w:t>8.41</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7" w:firstLine="0"/>
            </w:pPr>
            <w:r>
              <w:t>100.00</w:t>
            </w:r>
          </w:p>
        </w:tc>
      </w:tr>
      <w:tr w:rsidR="00DA3C0E">
        <w:trPr>
          <w:trHeight w:val="262"/>
        </w:trPr>
        <w:tc>
          <w:tcPr>
            <w:tcW w:w="2542" w:type="dxa"/>
            <w:tcBorders>
              <w:top w:val="single" w:sz="2" w:space="0" w:color="000000"/>
              <w:left w:val="single" w:sz="2" w:space="0" w:color="000000"/>
              <w:bottom w:val="single" w:sz="2" w:space="0" w:color="000000"/>
              <w:right w:val="single" w:sz="2" w:space="0" w:color="000000"/>
            </w:tcBorders>
          </w:tcPr>
          <w:p w:rsidR="00DA3C0E" w:rsidRDefault="00DA3C0E">
            <w:pPr>
              <w:spacing w:after="160" w:line="259" w:lineRule="auto"/>
              <w:ind w:left="0" w:firstLine="0"/>
            </w:pPr>
          </w:p>
        </w:tc>
        <w:tc>
          <w:tcPr>
            <w:tcW w:w="655" w:type="dxa"/>
            <w:tcBorders>
              <w:top w:val="single" w:sz="2" w:space="0" w:color="000000"/>
              <w:left w:val="single" w:sz="2" w:space="0" w:color="000000"/>
              <w:bottom w:val="single" w:sz="2" w:space="0" w:color="000000"/>
              <w:right w:val="nil"/>
            </w:tcBorders>
          </w:tcPr>
          <w:p w:rsidR="00DA3C0E" w:rsidRDefault="00E058CC">
            <w:pPr>
              <w:spacing w:after="0" w:line="259" w:lineRule="auto"/>
              <w:ind w:left="7" w:firstLine="0"/>
            </w:pPr>
            <w:r>
              <w:t>Male</w:t>
            </w:r>
          </w:p>
        </w:tc>
        <w:tc>
          <w:tcPr>
            <w:tcW w:w="899" w:type="dxa"/>
            <w:tcBorders>
              <w:top w:val="single" w:sz="2" w:space="0" w:color="000000"/>
              <w:left w:val="nil"/>
              <w:bottom w:val="single" w:sz="2" w:space="0" w:color="000000"/>
              <w:right w:val="single" w:sz="2" w:space="0" w:color="000000"/>
            </w:tcBorders>
          </w:tcPr>
          <w:p w:rsidR="00DA3C0E" w:rsidRDefault="00DA3C0E">
            <w:pPr>
              <w:spacing w:after="160" w:line="259" w:lineRule="auto"/>
              <w:ind w:left="0" w:firstLine="0"/>
            </w:pP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3" w:firstLine="0"/>
            </w:pPr>
            <w:r>
              <w:rPr>
                <w:sz w:val="24"/>
              </w:rPr>
              <w:t>Female</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0" w:firstLine="0"/>
            </w:pPr>
            <w:r>
              <w:rPr>
                <w:sz w:val="26"/>
              </w:rPr>
              <w:t>Pay Gap</w:t>
            </w:r>
          </w:p>
        </w:tc>
      </w:tr>
      <w:tr w:rsidR="00DA3C0E">
        <w:trPr>
          <w:trHeight w:val="263"/>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4" w:firstLine="0"/>
            </w:pPr>
            <w:r>
              <w:t>Mean</w:t>
            </w:r>
          </w:p>
        </w:tc>
        <w:tc>
          <w:tcPr>
            <w:tcW w:w="655" w:type="dxa"/>
            <w:tcBorders>
              <w:top w:val="single" w:sz="2" w:space="0" w:color="000000"/>
              <w:left w:val="single" w:sz="2" w:space="0" w:color="000000"/>
              <w:bottom w:val="single" w:sz="2" w:space="0" w:color="000000"/>
              <w:right w:val="nil"/>
            </w:tcBorders>
          </w:tcPr>
          <w:p w:rsidR="00DA3C0E" w:rsidRDefault="00DA3C0E">
            <w:pPr>
              <w:spacing w:after="160" w:line="259" w:lineRule="auto"/>
              <w:ind w:left="0" w:firstLine="0"/>
            </w:pPr>
          </w:p>
        </w:tc>
        <w:tc>
          <w:tcPr>
            <w:tcW w:w="899" w:type="dxa"/>
            <w:tcBorders>
              <w:top w:val="single" w:sz="2" w:space="0" w:color="000000"/>
              <w:left w:val="nil"/>
              <w:bottom w:val="single" w:sz="2" w:space="0" w:color="000000"/>
              <w:right w:val="single" w:sz="2" w:space="0" w:color="000000"/>
            </w:tcBorders>
          </w:tcPr>
          <w:p w:rsidR="00DA3C0E" w:rsidRDefault="00E058CC">
            <w:pPr>
              <w:spacing w:after="0" w:line="259" w:lineRule="auto"/>
              <w:ind w:left="75" w:firstLine="0"/>
              <w:jc w:val="center"/>
            </w:pPr>
            <w:r>
              <w:t>£18.19</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0" w:right="3" w:firstLine="0"/>
              <w:jc w:val="right"/>
            </w:pPr>
            <w:r>
              <w:t>£13.26</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381" w:firstLine="0"/>
            </w:pPr>
            <w:r>
              <w:t>27.11%</w:t>
            </w:r>
          </w:p>
        </w:tc>
      </w:tr>
      <w:tr w:rsidR="00DA3C0E">
        <w:trPr>
          <w:trHeight w:val="266"/>
        </w:trPr>
        <w:tc>
          <w:tcPr>
            <w:tcW w:w="2542"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14" w:firstLine="0"/>
            </w:pPr>
            <w:r>
              <w:t>Median</w:t>
            </w:r>
          </w:p>
        </w:tc>
        <w:tc>
          <w:tcPr>
            <w:tcW w:w="655" w:type="dxa"/>
            <w:tcBorders>
              <w:top w:val="single" w:sz="2" w:space="0" w:color="000000"/>
              <w:left w:val="single" w:sz="2" w:space="0" w:color="000000"/>
              <w:bottom w:val="single" w:sz="2" w:space="0" w:color="000000"/>
              <w:right w:val="nil"/>
            </w:tcBorders>
          </w:tcPr>
          <w:p w:rsidR="00DA3C0E" w:rsidRDefault="00DA3C0E">
            <w:pPr>
              <w:spacing w:after="160" w:line="259" w:lineRule="auto"/>
              <w:ind w:left="0" w:firstLine="0"/>
            </w:pPr>
          </w:p>
        </w:tc>
        <w:tc>
          <w:tcPr>
            <w:tcW w:w="899" w:type="dxa"/>
            <w:tcBorders>
              <w:top w:val="single" w:sz="2" w:space="0" w:color="000000"/>
              <w:left w:val="nil"/>
              <w:bottom w:val="single" w:sz="2" w:space="0" w:color="000000"/>
              <w:right w:val="single" w:sz="2" w:space="0" w:color="000000"/>
            </w:tcBorders>
          </w:tcPr>
          <w:p w:rsidR="00DA3C0E" w:rsidRDefault="00E058CC">
            <w:pPr>
              <w:spacing w:after="0" w:line="259" w:lineRule="auto"/>
              <w:ind w:left="60" w:firstLine="0"/>
              <w:jc w:val="center"/>
            </w:pPr>
            <w:r>
              <w:t>£16.80</w:t>
            </w:r>
          </w:p>
        </w:tc>
        <w:tc>
          <w:tcPr>
            <w:tcW w:w="1415"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0" w:right="10" w:firstLine="0"/>
              <w:jc w:val="right"/>
            </w:pPr>
            <w:r>
              <w:t>£9.72</w:t>
            </w:r>
          </w:p>
        </w:tc>
        <w:tc>
          <w:tcPr>
            <w:tcW w:w="1269" w:type="dxa"/>
            <w:tcBorders>
              <w:top w:val="single" w:sz="2" w:space="0" w:color="000000"/>
              <w:left w:val="single" w:sz="2" w:space="0" w:color="000000"/>
              <w:bottom w:val="single" w:sz="2" w:space="0" w:color="000000"/>
              <w:right w:val="single" w:sz="2" w:space="0" w:color="000000"/>
            </w:tcBorders>
          </w:tcPr>
          <w:p w:rsidR="00DA3C0E" w:rsidRDefault="00E058CC">
            <w:pPr>
              <w:spacing w:after="0" w:line="259" w:lineRule="auto"/>
              <w:ind w:left="381" w:firstLine="0"/>
            </w:pPr>
            <w:r>
              <w:t>42.16%</w:t>
            </w:r>
          </w:p>
        </w:tc>
      </w:tr>
    </w:tbl>
    <w:p w:rsidR="00DA3C0E" w:rsidRDefault="00E058CC">
      <w:pPr>
        <w:ind w:left="53" w:right="36"/>
      </w:pPr>
      <w:r>
        <w:t>Pickwick Academy Trust is an equal opportunities employer with a diverse and inclusive workforce.</w:t>
      </w:r>
    </w:p>
    <w:p w:rsidR="00DA3C0E" w:rsidRDefault="00E058CC">
      <w:pPr>
        <w:spacing w:after="260"/>
        <w:ind w:left="53" w:right="36"/>
      </w:pPr>
      <w:r>
        <w:t>We do not tolerate discrimination.</w:t>
      </w:r>
    </w:p>
    <w:p w:rsidR="00DA3C0E" w:rsidRDefault="00E058CC">
      <w:pPr>
        <w:spacing w:after="265"/>
        <w:ind w:left="53" w:right="36"/>
      </w:pPr>
      <w:r>
        <w:t>As a primary academy trust, we recognise that 91.59% of the workforce is female due to the availability of part-time and te</w:t>
      </w:r>
      <w:r>
        <w:t xml:space="preserve">rm-time only jobs. This ensures that a positive work life balance </w:t>
      </w:r>
      <w:proofErr w:type="gramStart"/>
      <w:r>
        <w:t>is achieved</w:t>
      </w:r>
      <w:proofErr w:type="gramEnd"/>
      <w:r>
        <w:t xml:space="preserve"> for our employees. Women </w:t>
      </w:r>
      <w:proofErr w:type="gramStart"/>
      <w:r>
        <w:t>are well represented</w:t>
      </w:r>
      <w:proofErr w:type="gramEnd"/>
      <w:r>
        <w:t xml:space="preserve"> at all levels within the Trust. </w:t>
      </w:r>
      <w:proofErr w:type="gramStart"/>
      <w:r>
        <w:t>We are committed to the well-being and professional development of our staff and will continue to of</w:t>
      </w:r>
      <w:r>
        <w:t>fer opportunities to males and females at all levels of the Trust.</w:t>
      </w:r>
      <w:proofErr w:type="gramEnd"/>
    </w:p>
    <w:p w:rsidR="00DA3C0E" w:rsidRDefault="00E058CC">
      <w:pPr>
        <w:ind w:left="53" w:right="36"/>
      </w:pPr>
      <w:r>
        <w:t>This initial report and its data provides a baseline for the Trust to compare to in future years to identify any trends and to take any actions as necessary.</w:t>
      </w:r>
    </w:p>
    <w:p w:rsidR="00DA3C0E" w:rsidRDefault="00E058CC">
      <w:pPr>
        <w:ind w:left="53" w:right="36"/>
      </w:pPr>
      <w:r>
        <w:t xml:space="preserve">Fiona Allen </w:t>
      </w:r>
      <w:r>
        <w:rPr>
          <w:noProof/>
        </w:rPr>
        <w:drawing>
          <wp:inline distT="0" distB="0" distL="0" distR="0">
            <wp:extent cx="694431" cy="374601"/>
            <wp:effectExtent l="0" t="0" r="0" b="0"/>
            <wp:docPr id="2513" name="Picture 2513"/>
            <wp:cNvGraphicFramePr/>
            <a:graphic xmlns:a="http://schemas.openxmlformats.org/drawingml/2006/main">
              <a:graphicData uri="http://schemas.openxmlformats.org/drawingml/2006/picture">
                <pic:pic xmlns:pic="http://schemas.openxmlformats.org/drawingml/2006/picture">
                  <pic:nvPicPr>
                    <pic:cNvPr id="2513" name="Picture 2513"/>
                    <pic:cNvPicPr/>
                  </pic:nvPicPr>
                  <pic:blipFill>
                    <a:blip r:embed="rId5"/>
                    <a:stretch>
                      <a:fillRect/>
                    </a:stretch>
                  </pic:blipFill>
                  <pic:spPr>
                    <a:xfrm>
                      <a:off x="0" y="0"/>
                      <a:ext cx="694431" cy="374601"/>
                    </a:xfrm>
                    <a:prstGeom prst="rect">
                      <a:avLst/>
                    </a:prstGeom>
                  </pic:spPr>
                </pic:pic>
              </a:graphicData>
            </a:graphic>
          </wp:inline>
        </w:drawing>
      </w:r>
    </w:p>
    <w:p w:rsidR="00DA3C0E" w:rsidRDefault="00E058CC">
      <w:pPr>
        <w:ind w:left="53" w:right="36"/>
      </w:pPr>
      <w:r>
        <w:t>CEO</w:t>
      </w:r>
      <w:r w:rsidR="00180FFD">
        <w:tab/>
      </w:r>
      <w:r w:rsidR="00180FFD">
        <w:tab/>
      </w:r>
      <w:r w:rsidR="00180FFD">
        <w:tab/>
      </w:r>
      <w:r w:rsidR="00180FFD">
        <w:tab/>
      </w:r>
      <w:proofErr w:type="gramStart"/>
      <w:r>
        <w:t>Dated:</w:t>
      </w:r>
      <w:proofErr w:type="gramEnd"/>
      <w:r>
        <w:t xml:space="preserve"> 3 Apri</w:t>
      </w:r>
      <w:r>
        <w:t>l 2019</w:t>
      </w:r>
      <w:bookmarkEnd w:id="0"/>
    </w:p>
    <w:sectPr w:rsidR="00DA3C0E">
      <w:pgSz w:w="11900" w:h="16820"/>
      <w:pgMar w:top="1440" w:right="1353" w:bottom="1440" w:left="15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0E"/>
    <w:rsid w:val="00180FFD"/>
    <w:rsid w:val="00DA3C0E"/>
    <w:rsid w:val="00E0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F02C"/>
  <w15:docId w15:val="{7302B3FA-244D-4FC5-B5D5-E056C86A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16" w:lineRule="auto"/>
      <w:ind w:left="1547" w:right="1583"/>
      <w:jc w:val="center"/>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MF282plus Pickwick Academy Trust-20190403155127</vt:lpstr>
    </vt:vector>
  </TitlesOfParts>
  <Company>Corsham Primary School</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MF282plus Pickwick Academy Trust-20190403155127</dc:title>
  <dc:subject/>
  <dc:creator>Fances Blackmore</dc:creator>
  <cp:keywords/>
  <cp:lastModifiedBy>Fances Blackmore</cp:lastModifiedBy>
  <cp:revision>2</cp:revision>
  <dcterms:created xsi:type="dcterms:W3CDTF">2019-04-03T15:19:00Z</dcterms:created>
  <dcterms:modified xsi:type="dcterms:W3CDTF">2019-04-03T15:19:00Z</dcterms:modified>
</cp:coreProperties>
</file>